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2581" w14:textId="57B911F6" w:rsidR="000451D1" w:rsidRPr="000451D1" w:rsidRDefault="000451D1" w:rsidP="000451D1">
      <w:pPr>
        <w:jc w:val="center"/>
        <w:rPr>
          <w:rFonts w:ascii="Ebrima" w:hAnsi="Ebrima" w:cs="Calibri Light"/>
          <w:b/>
          <w:bCs/>
          <w:color w:val="000000"/>
        </w:rPr>
      </w:pPr>
      <w:r w:rsidRPr="000451D1">
        <w:rPr>
          <w:rFonts w:ascii="Ebrima" w:hAnsi="Ebrima" w:cs="Calibri Light"/>
          <w:b/>
          <w:bCs/>
          <w:color w:val="000000"/>
        </w:rPr>
        <w:t xml:space="preserve">Supplementary file -Jatem </w:t>
      </w:r>
      <w:r w:rsidRPr="000451D1">
        <w:rPr>
          <w:rFonts w:ascii="Ebrima" w:hAnsi="Ebrima" w:cs="Calibri Light"/>
          <w:b/>
          <w:bCs/>
          <w:color w:val="000000"/>
        </w:rPr>
        <w:t>211</w:t>
      </w:r>
    </w:p>
    <w:p w14:paraId="358EC7F1" w14:textId="77777777" w:rsidR="000451D1" w:rsidRPr="000451D1" w:rsidRDefault="000451D1" w:rsidP="000451D1">
      <w:pPr>
        <w:rPr>
          <w:rFonts w:ascii="Ebrima" w:hAnsi="Ebrima" w:cs="Calibri Light"/>
          <w:bCs/>
          <w:color w:val="000000"/>
        </w:rPr>
      </w:pPr>
    </w:p>
    <w:p w14:paraId="436A4499" w14:textId="4199289D" w:rsidR="007F1875" w:rsidRPr="000451D1" w:rsidRDefault="000451D1" w:rsidP="000451D1">
      <w:pPr>
        <w:rPr>
          <w:rFonts w:ascii="Ebrima" w:hAnsi="Ebrima" w:cs="Calibri Light"/>
          <w:bCs/>
        </w:rPr>
      </w:pPr>
      <w:r w:rsidRPr="000451D1">
        <w:rPr>
          <w:rFonts w:ascii="Ebrima" w:hAnsi="Ebrima" w:cs="Calibri Light"/>
          <w:b/>
          <w:color w:val="000000"/>
        </w:rPr>
        <w:t>Article Title:</w:t>
      </w:r>
      <w:r w:rsidRPr="000451D1">
        <w:rPr>
          <w:rFonts w:ascii="Ebrima" w:hAnsi="Ebrima" w:cs="Calibri Light"/>
          <w:bCs/>
          <w:color w:val="000000"/>
        </w:rPr>
        <w:t xml:space="preserve"> </w:t>
      </w:r>
      <w:r w:rsidRPr="000451D1">
        <w:rPr>
          <w:rFonts w:ascii="Ebrima" w:hAnsi="Ebrima" w:cs="Calibri Light"/>
          <w:bCs/>
        </w:rPr>
        <w:t>Mitigating Water Lily Invasion: Evaluating the Efficiency of a Novel Manual Machine in Aquaculture Pond</w:t>
      </w:r>
      <w:r w:rsidRPr="000451D1">
        <w:rPr>
          <w:rFonts w:ascii="Ebrima" w:hAnsi="Ebrima" w:cs="Calibri Light"/>
          <w:bCs/>
        </w:rPr>
        <w:t>s</w:t>
      </w:r>
    </w:p>
    <w:p w14:paraId="0FA505DC" w14:textId="77777777" w:rsidR="000451D1" w:rsidRPr="000451D1" w:rsidRDefault="000451D1" w:rsidP="000451D1">
      <w:pPr>
        <w:rPr>
          <w:rFonts w:ascii="Calibri Light" w:hAnsi="Calibri Light" w:cs="Calibri Light"/>
          <w:b/>
          <w:sz w:val="24"/>
          <w:szCs w:val="24"/>
        </w:rPr>
      </w:pPr>
    </w:p>
    <w:p w14:paraId="6543A4A5" w14:textId="77777777" w:rsidR="000451D1" w:rsidRPr="000451D1" w:rsidRDefault="000451D1" w:rsidP="000451D1">
      <w:pPr>
        <w:jc w:val="center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451D1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5D7C0B2B" wp14:editId="7AC54942">
            <wp:extent cx="3888266" cy="2792021"/>
            <wp:effectExtent l="19050" t="19050" r="17145" b="279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8266" cy="27920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B8FA62" w14:textId="77777777" w:rsidR="000451D1" w:rsidRPr="000451D1" w:rsidRDefault="000451D1" w:rsidP="000451D1">
      <w:p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0451D1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Figure 1: </w:t>
      </w:r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Map of Liberia showing all the counties (Bong and </w:t>
      </w:r>
      <w:proofErr w:type="spellStart"/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>Nimba</w:t>
      </w:r>
      <w:proofErr w:type="spellEnd"/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are located in the North Central part)</w:t>
      </w:r>
    </w:p>
    <w:p w14:paraId="7574248B" w14:textId="77777777" w:rsidR="000451D1" w:rsidRPr="000451D1" w:rsidRDefault="000451D1" w:rsidP="000451D1">
      <w:pPr>
        <w:jc w:val="left"/>
        <w:rPr>
          <w:rFonts w:ascii="Calibri Light" w:hAnsi="Calibri Light" w:cs="Calibri Light"/>
          <w:b/>
          <w:sz w:val="24"/>
          <w:szCs w:val="24"/>
        </w:rPr>
      </w:pPr>
    </w:p>
    <w:p w14:paraId="2A6A6B54" w14:textId="27294621" w:rsidR="000451D1" w:rsidRPr="000451D1" w:rsidRDefault="000451D1" w:rsidP="000451D1">
      <w:pPr>
        <w:jc w:val="left"/>
        <w:rPr>
          <w:rFonts w:ascii="Calibri Light" w:hAnsi="Calibri Light" w:cs="Calibri Light"/>
          <w:b/>
          <w:sz w:val="24"/>
          <w:szCs w:val="24"/>
        </w:rPr>
      </w:pPr>
      <w:r w:rsidRPr="000451D1">
        <w:rPr>
          <w:rFonts w:ascii="Calibri Light" w:hAnsi="Calibri Light" w:cs="Calibri Light"/>
          <w:b/>
          <w:sz w:val="24"/>
          <w:szCs w:val="24"/>
        </w:rPr>
        <w:t xml:space="preserve">Table 1: </w:t>
      </w:r>
      <w:r w:rsidRPr="000451D1">
        <w:rPr>
          <w:rFonts w:ascii="Calibri Light" w:hAnsi="Calibri Light" w:cs="Calibri Light"/>
          <w:bCs/>
          <w:sz w:val="24"/>
          <w:szCs w:val="24"/>
        </w:rPr>
        <w:t>Effect of the water lily to the fish farmers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1477"/>
      </w:tblGrid>
      <w:tr w:rsidR="000451D1" w:rsidRPr="000451D1" w14:paraId="2706B7CC" w14:textId="77777777" w:rsidTr="00E96DB1">
        <w:trPr>
          <w:cantSplit/>
          <w:trHeight w:val="420"/>
        </w:trPr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4344E" w14:textId="77777777" w:rsidR="000451D1" w:rsidRPr="000451D1" w:rsidRDefault="000451D1" w:rsidP="00E96DB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What knowledge/experience you have on water lily?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77766A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Percent (%)</w:t>
            </w:r>
          </w:p>
        </w:tc>
      </w:tr>
      <w:tr w:rsidR="000451D1" w:rsidRPr="000451D1" w14:paraId="3565E707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C5C72E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Basic knowledge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FFFFFF"/>
          </w:tcPr>
          <w:p w14:paraId="097700C9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46.6</w:t>
            </w:r>
          </w:p>
        </w:tc>
      </w:tr>
      <w:tr w:rsidR="000451D1" w:rsidRPr="000451D1" w14:paraId="67F867A3" w14:textId="77777777" w:rsidTr="00E96DB1">
        <w:trPr>
          <w:cantSplit/>
          <w:trHeight w:val="244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5CC060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No basic knowledge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FFFFFF"/>
          </w:tcPr>
          <w:p w14:paraId="7E4CEBA0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53.4</w:t>
            </w:r>
          </w:p>
        </w:tc>
      </w:tr>
      <w:tr w:rsidR="000451D1" w:rsidRPr="000451D1" w14:paraId="468944C0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CC4A3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r w:rsidRPr="000451D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Have you made any effort to remove the water lily?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0074AF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</w:tr>
      <w:tr w:rsidR="000451D1" w:rsidRPr="000451D1" w14:paraId="5993E4C3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1F582A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FFFFFF"/>
          </w:tcPr>
          <w:p w14:paraId="1C85F1A4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93.3</w:t>
            </w:r>
          </w:p>
        </w:tc>
      </w:tr>
      <w:tr w:rsidR="000451D1" w:rsidRPr="000451D1" w14:paraId="62BF2D17" w14:textId="77777777" w:rsidTr="00E96DB1">
        <w:trPr>
          <w:cantSplit/>
          <w:trHeight w:val="244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BBF1EC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FFFFFF"/>
          </w:tcPr>
          <w:p w14:paraId="5A3C9F7C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6.7</w:t>
            </w:r>
          </w:p>
        </w:tc>
      </w:tr>
      <w:tr w:rsidR="000451D1" w:rsidRPr="000451D1" w14:paraId="11E7800F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1AB6A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Most dominant species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89D61B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</w:tr>
      <w:tr w:rsidR="000451D1" w:rsidRPr="000451D1" w14:paraId="32C64DAE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288667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  <w:t>Nymphaea</w:t>
            </w: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1D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FFFFFF"/>
          </w:tcPr>
          <w:p w14:paraId="22B91E26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42.6</w:t>
            </w:r>
          </w:p>
        </w:tc>
      </w:tr>
      <w:tr w:rsidR="000451D1" w:rsidRPr="000451D1" w14:paraId="14BEFA93" w14:textId="77777777" w:rsidTr="00E96DB1">
        <w:trPr>
          <w:cantSplit/>
          <w:trHeight w:val="244"/>
        </w:trPr>
        <w:tc>
          <w:tcPr>
            <w:tcW w:w="4007" w:type="pct"/>
            <w:shd w:val="clear" w:color="auto" w:fill="FFFFFF"/>
            <w:vAlign w:val="center"/>
          </w:tcPr>
          <w:p w14:paraId="7C9ED6B0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  <w:t>Nelumbo nucifera</w:t>
            </w:r>
          </w:p>
        </w:tc>
        <w:tc>
          <w:tcPr>
            <w:tcW w:w="993" w:type="pct"/>
            <w:shd w:val="clear" w:color="auto" w:fill="FFFFFF"/>
          </w:tcPr>
          <w:p w14:paraId="749F0CE7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35.7</w:t>
            </w:r>
          </w:p>
        </w:tc>
      </w:tr>
      <w:tr w:rsidR="000451D1" w:rsidRPr="000451D1" w14:paraId="0EEDA151" w14:textId="77777777" w:rsidTr="00E96DB1">
        <w:trPr>
          <w:cantSplit/>
          <w:trHeight w:val="244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9F883B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</w:rPr>
              <w:t>Salvinia auriculata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FFFFFF"/>
          </w:tcPr>
          <w:p w14:paraId="6C3A2D6D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25.3</w:t>
            </w:r>
          </w:p>
        </w:tc>
      </w:tr>
      <w:tr w:rsidR="000451D1" w:rsidRPr="000451D1" w14:paraId="1CF6D300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2577F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Mode of removal from the pond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F39061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</w:tr>
      <w:tr w:rsidR="000451D1" w:rsidRPr="000451D1" w14:paraId="17A63B43" w14:textId="77777777" w:rsidTr="00E96DB1">
        <w:trPr>
          <w:cantSplit/>
          <w:trHeight w:val="244"/>
        </w:trPr>
        <w:tc>
          <w:tcPr>
            <w:tcW w:w="40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0960EB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Manually after harvesting we uproot it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FFFFFF"/>
          </w:tcPr>
          <w:p w14:paraId="36D800DF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66.7</w:t>
            </w:r>
          </w:p>
        </w:tc>
      </w:tr>
      <w:tr w:rsidR="000451D1" w:rsidRPr="000451D1" w14:paraId="03BCC9E8" w14:textId="77777777" w:rsidTr="00E96DB1">
        <w:trPr>
          <w:cantSplit/>
          <w:trHeight w:val="244"/>
        </w:trPr>
        <w:tc>
          <w:tcPr>
            <w:tcW w:w="4007" w:type="pct"/>
            <w:shd w:val="clear" w:color="auto" w:fill="FFFFFF"/>
            <w:vAlign w:val="center"/>
          </w:tcPr>
          <w:p w14:paraId="5F3C416B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Manually by cutting with cutlass and hoe</w:t>
            </w:r>
          </w:p>
        </w:tc>
        <w:tc>
          <w:tcPr>
            <w:tcW w:w="993" w:type="pct"/>
            <w:shd w:val="clear" w:color="auto" w:fill="FFFFFF"/>
          </w:tcPr>
          <w:p w14:paraId="25A69C09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26.7</w:t>
            </w:r>
          </w:p>
        </w:tc>
      </w:tr>
      <w:tr w:rsidR="000451D1" w:rsidRPr="000451D1" w14:paraId="05E2CDEB" w14:textId="77777777" w:rsidTr="00E96DB1">
        <w:trPr>
          <w:cantSplit/>
          <w:trHeight w:val="244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9A8B71" w14:textId="77777777" w:rsidR="000451D1" w:rsidRPr="000451D1" w:rsidRDefault="000451D1" w:rsidP="00E96DB1">
            <w:pPr>
              <w:autoSpaceDE w:val="0"/>
              <w:autoSpaceDN w:val="0"/>
              <w:adjustRightInd w:val="0"/>
              <w:ind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Spraying with Chemical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FFFFFF"/>
          </w:tcPr>
          <w:p w14:paraId="4FE456CD" w14:textId="77777777" w:rsidR="000451D1" w:rsidRPr="000451D1" w:rsidRDefault="000451D1" w:rsidP="00E96DB1">
            <w:pPr>
              <w:autoSpaceDE w:val="0"/>
              <w:autoSpaceDN w:val="0"/>
              <w:adjustRightInd w:val="0"/>
              <w:ind w:left="60" w:right="6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6.7</w:t>
            </w:r>
          </w:p>
        </w:tc>
      </w:tr>
    </w:tbl>
    <w:p w14:paraId="1F325B1E" w14:textId="77777777" w:rsidR="000451D1" w:rsidRPr="000451D1" w:rsidRDefault="000451D1" w:rsidP="000451D1">
      <w:pPr>
        <w:jc w:val="center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451D1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11A68D36" wp14:editId="55E7EE99">
            <wp:extent cx="5126156" cy="2027555"/>
            <wp:effectExtent l="19050" t="19050" r="1778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0443" cy="20925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DDF16F" w14:textId="77777777" w:rsidR="000451D1" w:rsidRDefault="000451D1" w:rsidP="000451D1">
      <w:p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0451D1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Figure 2: </w:t>
      </w:r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The different water lily species identified during the survey of the 2 counties; a- </w:t>
      </w:r>
      <w:r w:rsidRPr="000451D1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 xml:space="preserve">Nymphaea </w:t>
      </w:r>
      <w:proofErr w:type="spellStart"/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>sp</w:t>
      </w:r>
      <w:proofErr w:type="spellEnd"/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, b- </w:t>
      </w:r>
      <w:r w:rsidRPr="000451D1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>Nelumbo nucifera</w:t>
      </w:r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>, and c-</w:t>
      </w:r>
      <w:r w:rsidRPr="000451D1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>Salvinia auriculata</w:t>
      </w:r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159EFBAD" w14:textId="77777777" w:rsidR="000451D1" w:rsidRDefault="000451D1" w:rsidP="000451D1">
      <w:p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405FDAD" w14:textId="77777777" w:rsidR="000451D1" w:rsidRPr="000451D1" w:rsidRDefault="000451D1" w:rsidP="000451D1">
      <w:p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2378D82" w14:textId="77777777" w:rsidR="000451D1" w:rsidRDefault="000451D1" w:rsidP="000451D1">
      <w:pPr>
        <w:rPr>
          <w:rFonts w:ascii="Calibri Light" w:hAnsi="Calibri Light" w:cs="Calibri Light"/>
          <w:sz w:val="24"/>
          <w:szCs w:val="24"/>
        </w:rPr>
      </w:pPr>
      <w:r w:rsidRPr="000451D1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5A0AD3D9" wp14:editId="6B6CFEAE">
            <wp:extent cx="5166663" cy="1720850"/>
            <wp:effectExtent l="19050" t="19050" r="1524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5257" cy="17436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451D1">
        <w:rPr>
          <w:rFonts w:ascii="Calibri Light" w:hAnsi="Calibri Light" w:cs="Calibri Light"/>
          <w:b/>
          <w:bCs/>
          <w:sz w:val="24"/>
          <w:szCs w:val="24"/>
        </w:rPr>
        <w:t>Figure 3.</w:t>
      </w:r>
      <w:r w:rsidRPr="000451D1">
        <w:rPr>
          <w:rFonts w:ascii="Calibri Light" w:hAnsi="Calibri Light" w:cs="Calibri Light"/>
          <w:sz w:val="24"/>
          <w:szCs w:val="24"/>
        </w:rPr>
        <w:t xml:space="preserve"> Both types of weeding exercises are depicted. On the left if the manual is the manual exercise while on the right, is the use of the fabricated prototype</w:t>
      </w:r>
    </w:p>
    <w:p w14:paraId="08FD1301" w14:textId="77777777" w:rsidR="000451D1" w:rsidRDefault="000451D1" w:rsidP="000451D1">
      <w:pPr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5E3A4390" w14:textId="383CA119" w:rsidR="000451D1" w:rsidRPr="000451D1" w:rsidRDefault="000451D1" w:rsidP="000451D1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451D1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Table 2: </w:t>
      </w:r>
      <w:r w:rsidRPr="000451D1">
        <w:rPr>
          <w:rFonts w:ascii="Calibri Light" w:hAnsi="Calibri Light" w:cs="Calibri Light"/>
          <w:bCs/>
          <w:color w:val="000000" w:themeColor="text1"/>
          <w:sz w:val="24"/>
          <w:szCs w:val="24"/>
        </w:rPr>
        <w:t>The efficiency of the novel method compared to the conventional method of water lily removal</w:t>
      </w:r>
    </w:p>
    <w:tbl>
      <w:tblPr>
        <w:tblStyle w:val="PlainTable51"/>
        <w:tblW w:w="4986" w:type="pct"/>
        <w:jc w:val="center"/>
        <w:tblLook w:val="04A0" w:firstRow="1" w:lastRow="0" w:firstColumn="1" w:lastColumn="0" w:noHBand="0" w:noVBand="1"/>
      </w:tblPr>
      <w:tblGrid>
        <w:gridCol w:w="1555"/>
        <w:gridCol w:w="1528"/>
        <w:gridCol w:w="1261"/>
        <w:gridCol w:w="1027"/>
        <w:gridCol w:w="2046"/>
      </w:tblGrid>
      <w:tr w:rsidR="000451D1" w:rsidRPr="000451D1" w14:paraId="2CE94D96" w14:textId="77777777" w:rsidTr="00E96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ED9C1" w14:textId="77777777" w:rsidR="000451D1" w:rsidRPr="000451D1" w:rsidRDefault="000451D1" w:rsidP="00E96DB1">
            <w:pPr>
              <w:rPr>
                <w:rFonts w:ascii="Calibri Light" w:hAnsi="Calibri Light" w:cs="Calibri Light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i w:val="0"/>
                <w:iCs w:val="0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4B747" w14:textId="77777777" w:rsidR="000451D1" w:rsidRPr="000451D1" w:rsidRDefault="000451D1" w:rsidP="00E96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iCs w:val="0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i w:val="0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7E381" w14:textId="77777777" w:rsidR="000451D1" w:rsidRPr="000451D1" w:rsidRDefault="000451D1" w:rsidP="00E96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iCs w:val="0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i w:val="0"/>
                <w:color w:val="000000" w:themeColor="text1"/>
                <w:sz w:val="24"/>
                <w:szCs w:val="24"/>
              </w:rPr>
              <w:t>Pond size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F94FF" w14:textId="77777777" w:rsidR="000451D1" w:rsidRPr="000451D1" w:rsidRDefault="000451D1" w:rsidP="00E96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iCs w:val="0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b/>
                <w:i w:val="0"/>
                <w:color w:val="000000" w:themeColor="text1"/>
                <w:sz w:val="24"/>
                <w:szCs w:val="24"/>
              </w:rPr>
              <w:t>Day (s)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3B8E7" w14:textId="77777777" w:rsidR="000451D1" w:rsidRPr="000451D1" w:rsidRDefault="000451D1" w:rsidP="00E96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0451D1">
              <w:rPr>
                <w:rFonts w:ascii="Calibri Light" w:hAnsi="Calibri Light" w:cs="Calibri Light"/>
                <w:b/>
                <w:i w:val="0"/>
                <w:iCs w:val="0"/>
                <w:color w:val="000000" w:themeColor="text1"/>
                <w:sz w:val="24"/>
                <w:szCs w:val="24"/>
              </w:rPr>
              <w:t>Labour</w:t>
            </w:r>
            <w:proofErr w:type="spellEnd"/>
            <w:r w:rsidRPr="000451D1">
              <w:rPr>
                <w:rFonts w:ascii="Calibri Light" w:hAnsi="Calibri Light" w:cs="Calibri Light"/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 Cost/USD</w:t>
            </w:r>
          </w:p>
        </w:tc>
      </w:tr>
      <w:tr w:rsidR="000451D1" w:rsidRPr="000451D1" w14:paraId="35DF6D87" w14:textId="77777777" w:rsidTr="00E96DB1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D523AE7" w14:textId="77777777" w:rsidR="000451D1" w:rsidRPr="000451D1" w:rsidRDefault="000451D1" w:rsidP="00E96DB1">
            <w:pPr>
              <w:jc w:val="left"/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0451D1">
              <w:rPr>
                <w:rFonts w:ascii="Calibri Light" w:hAnsi="Calibri Light" w:cs="Calibri Light"/>
                <w:i w:val="0"/>
                <w:color w:val="000000" w:themeColor="text1"/>
                <w:sz w:val="24"/>
                <w:szCs w:val="24"/>
              </w:rPr>
              <w:t>Neingbin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</w:tcPr>
          <w:p w14:paraId="26AA675E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Conventional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C4482" w14:textId="77777777" w:rsidR="000451D1" w:rsidRPr="000451D1" w:rsidRDefault="000451D1" w:rsidP="00E96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1300m</w:t>
            </w: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</w:tcPr>
          <w:p w14:paraId="72ED1461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</w:tcBorders>
            <w:shd w:val="clear" w:color="auto" w:fill="auto"/>
          </w:tcPr>
          <w:p w14:paraId="0C33AF79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32.00 </w:t>
            </w:r>
          </w:p>
        </w:tc>
      </w:tr>
      <w:tr w:rsidR="000451D1" w:rsidRPr="000451D1" w14:paraId="5AAC75BD" w14:textId="77777777" w:rsidTr="00E96DB1">
        <w:trPr>
          <w:trHeight w:val="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79B333" w14:textId="77777777" w:rsidR="000451D1" w:rsidRPr="000451D1" w:rsidRDefault="000451D1" w:rsidP="00E96DB1">
            <w:pPr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72DC9F97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Prototype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4E34B8F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6ED66F68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auto"/>
          </w:tcPr>
          <w:p w14:paraId="337CED68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16</w:t>
            </w:r>
          </w:p>
        </w:tc>
      </w:tr>
      <w:tr w:rsidR="000451D1" w:rsidRPr="000451D1" w14:paraId="4CAA833D" w14:textId="77777777" w:rsidTr="00E96DB1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52DAE07" w14:textId="77777777" w:rsidR="000451D1" w:rsidRPr="000451D1" w:rsidRDefault="000451D1" w:rsidP="00E96DB1">
            <w:pPr>
              <w:jc w:val="left"/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</w:p>
          <w:p w14:paraId="6479F844" w14:textId="77777777" w:rsidR="000451D1" w:rsidRPr="000451D1" w:rsidRDefault="000451D1" w:rsidP="00E96DB1">
            <w:pPr>
              <w:jc w:val="left"/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i w:val="0"/>
                <w:color w:val="000000" w:themeColor="text1"/>
                <w:sz w:val="24"/>
                <w:szCs w:val="24"/>
              </w:rPr>
              <w:t>Tudin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</w:tcPr>
          <w:p w14:paraId="36362B9C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Conventional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33D085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  <w:p w14:paraId="79D357C7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1500m</w:t>
            </w: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</w:tcPr>
          <w:p w14:paraId="3BDB68DA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</w:tcBorders>
            <w:shd w:val="clear" w:color="auto" w:fill="auto"/>
          </w:tcPr>
          <w:p w14:paraId="6B523AE6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32.00</w:t>
            </w:r>
          </w:p>
        </w:tc>
      </w:tr>
      <w:tr w:rsidR="000451D1" w:rsidRPr="000451D1" w14:paraId="0E24CEC2" w14:textId="77777777" w:rsidTr="00E96DB1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4799466" w14:textId="77777777" w:rsidR="000451D1" w:rsidRPr="000451D1" w:rsidRDefault="000451D1" w:rsidP="00E96DB1">
            <w:pPr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73EF3B6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Prototype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183AC0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5D92A2FA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auto"/>
          </w:tcPr>
          <w:p w14:paraId="5D8338BF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0451D1" w:rsidRPr="000451D1" w14:paraId="04DFD1D1" w14:textId="77777777" w:rsidTr="00E96DB1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51C9403" w14:textId="77777777" w:rsidR="000451D1" w:rsidRPr="000451D1" w:rsidRDefault="000451D1" w:rsidP="00E96DB1">
            <w:pPr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0451D1">
              <w:rPr>
                <w:rFonts w:ascii="Calibri Light" w:hAnsi="Calibri Light" w:cs="Calibri Light"/>
                <w:i w:val="0"/>
                <w:color w:val="000000" w:themeColor="text1"/>
                <w:sz w:val="24"/>
                <w:szCs w:val="24"/>
              </w:rPr>
              <w:t>Zowenta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</w:tcPr>
          <w:p w14:paraId="2466FF06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Conventional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24B0B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1800 m</w:t>
            </w: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</w:tcPr>
          <w:p w14:paraId="5615B1DF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379" w:type="pct"/>
            <w:tcBorders>
              <w:top w:val="single" w:sz="4" w:space="0" w:color="auto"/>
            </w:tcBorders>
            <w:shd w:val="clear" w:color="auto" w:fill="auto"/>
          </w:tcPr>
          <w:p w14:paraId="19559FCA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40.00</w:t>
            </w:r>
          </w:p>
        </w:tc>
      </w:tr>
      <w:tr w:rsidR="000451D1" w:rsidRPr="000451D1" w14:paraId="39CD8649" w14:textId="77777777" w:rsidTr="00E96DB1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980F2B4" w14:textId="77777777" w:rsidR="000451D1" w:rsidRPr="000451D1" w:rsidRDefault="000451D1" w:rsidP="00E96DB1">
            <w:pPr>
              <w:rPr>
                <w:rFonts w:ascii="Calibri Light" w:hAnsi="Calibri Light" w:cs="Calibri Light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2EBAA94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Prototype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FB924F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3F28B06D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auto"/>
          </w:tcPr>
          <w:p w14:paraId="17051A45" w14:textId="77777777" w:rsidR="000451D1" w:rsidRPr="000451D1" w:rsidRDefault="000451D1" w:rsidP="00E96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0451D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157AA345" w14:textId="77777777" w:rsidR="000451D1" w:rsidRPr="000451D1" w:rsidRDefault="000451D1">
      <w:pPr>
        <w:rPr>
          <w:rFonts w:ascii="Calibri Light" w:hAnsi="Calibri Light" w:cs="Calibri Light"/>
          <w:sz w:val="24"/>
          <w:szCs w:val="24"/>
        </w:rPr>
      </w:pPr>
    </w:p>
    <w:sectPr w:rsidR="000451D1" w:rsidRPr="000451D1" w:rsidSect="009D42CA">
      <w:footerReference w:type="default" r:id="rId9"/>
      <w:pgSz w:w="10318" w:h="14570" w:code="13"/>
      <w:pgMar w:top="1440" w:right="1440" w:bottom="100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3C07" w14:textId="77777777" w:rsidR="00CC53FD" w:rsidRDefault="00CC53FD" w:rsidP="000451D1">
      <w:r>
        <w:separator/>
      </w:r>
    </w:p>
  </w:endnote>
  <w:endnote w:type="continuationSeparator" w:id="0">
    <w:p w14:paraId="081639C3" w14:textId="77777777" w:rsidR="00CC53FD" w:rsidRDefault="00CC53FD" w:rsidP="0004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714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A371D" w14:textId="4C116524" w:rsidR="000451D1" w:rsidRDefault="000451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D7A2" w14:textId="77777777" w:rsidR="000451D1" w:rsidRDefault="0004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7BC1" w14:textId="77777777" w:rsidR="00CC53FD" w:rsidRDefault="00CC53FD" w:rsidP="000451D1">
      <w:r>
        <w:separator/>
      </w:r>
    </w:p>
  </w:footnote>
  <w:footnote w:type="continuationSeparator" w:id="0">
    <w:p w14:paraId="2D8D804B" w14:textId="77777777" w:rsidR="00CC53FD" w:rsidRDefault="00CC53FD" w:rsidP="0004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1"/>
    <w:rsid w:val="000451D1"/>
    <w:rsid w:val="00056E73"/>
    <w:rsid w:val="00056F28"/>
    <w:rsid w:val="000D376C"/>
    <w:rsid w:val="00111C19"/>
    <w:rsid w:val="001432B4"/>
    <w:rsid w:val="00403E9B"/>
    <w:rsid w:val="0044615F"/>
    <w:rsid w:val="00451475"/>
    <w:rsid w:val="006F4B0B"/>
    <w:rsid w:val="007B6D2A"/>
    <w:rsid w:val="007F1875"/>
    <w:rsid w:val="00957B8C"/>
    <w:rsid w:val="009D42CA"/>
    <w:rsid w:val="00A529FA"/>
    <w:rsid w:val="00A81DEA"/>
    <w:rsid w:val="00AD0BFA"/>
    <w:rsid w:val="00C36A8F"/>
    <w:rsid w:val="00CC059F"/>
    <w:rsid w:val="00CC53FD"/>
    <w:rsid w:val="00CD16A3"/>
    <w:rsid w:val="00CE1F77"/>
    <w:rsid w:val="00D13B73"/>
    <w:rsid w:val="00D14574"/>
    <w:rsid w:val="00DF3177"/>
    <w:rsid w:val="00DF467C"/>
    <w:rsid w:val="00E80997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DA61"/>
  <w15:chartTrackingRefBased/>
  <w15:docId w15:val="{65966753-A880-4A95-8B33-43F841FA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0451D1"/>
    <w:pPr>
      <w:jc w:val="left"/>
    </w:pPr>
    <w:rPr>
      <w:rFonts w:eastAsiaTheme="minorEastAsia"/>
      <w:sz w:val="20"/>
      <w:szCs w:val="20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5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D1"/>
  </w:style>
  <w:style w:type="paragraph" w:styleId="Footer">
    <w:name w:val="footer"/>
    <w:basedOn w:val="Normal"/>
    <w:link w:val="FooterChar"/>
    <w:uiPriority w:val="99"/>
    <w:unhideWhenUsed/>
    <w:rsid w:val="00045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2024-01-13T10:15:00Z</dcterms:created>
  <dcterms:modified xsi:type="dcterms:W3CDTF">2024-01-13T10:19:00Z</dcterms:modified>
</cp:coreProperties>
</file>